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A1628"/>
          <w:sz w:val="32"/>
        </w:rPr>
        <w:t>LEGAL OPINION LETTER</w:t>
      </w:r>
    </w:p>
    <w:p>
      <w:pPr>
        <w:jc w:val="center"/>
      </w:pPr>
      <w:r>
        <w:rPr>
          <w:b/>
          <w:color w:val="1E4080"/>
          <w:sz w:val="24"/>
        </w:rPr>
        <w:t>Authority to Issue Capital Market Financial Instruments</w:t>
      </w:r>
    </w:p>
    <w:p>
      <w:pPr>
        <w:spacing w:after="200"/>
        <w:jc w:val="center"/>
      </w:pPr>
      <w:r>
        <w:rPr>
          <w:sz w:val="20"/>
        </w:rPr>
        <w:t>Date: July 23, 2026    ·    Opinion Ref: RA-NVC-LO-20260723-001    ·    Jurisdiction: United States</w:t>
      </w:r>
    </w:p>
    <w:p/>
    <w:tbl>
      <w:tblPr>
        <w:tblStyle w:val="TableGrid"/>
        <w:tblW w:type="auto" w:w="0"/>
        <w:tblLook w:firstColumn="1" w:firstRow="1" w:lastColumn="0" w:lastRow="0" w:noHBand="0" w:noVBand="1" w:val="04A0"/>
      </w:tblPr>
      <w:tblGrid>
        <w:gridCol w:w="8640"/>
      </w:tblGrid>
      <w:tr>
        <w:tc>
          <w:tcPr>
            <w:tcW w:type="dxa" w:w="8640"/>
            <w:shd w:val="clear" w:color="auto" w:fill="EEF3FA"/>
          </w:tcPr>
          <w:p/>
          <w:p>
            <w:pPr>
              <w:spacing w:after="60"/>
            </w:pPr>
            <w:r>
              <w:rPr>
                <w:b/>
                <w:sz w:val="22"/>
              </w:rPr>
              <w:t xml:space="preserve">TO:  </w:t>
            </w:r>
            <w:r>
              <w:rPr>
                <w:sz w:val="22"/>
              </w:rPr>
              <w:t>All Counterparties, Correspondent Banks, Settlement Agents, and Interested Parties</w:t>
            </w:r>
          </w:p>
          <w:p>
            <w:pPr>
              <w:spacing w:after="60"/>
            </w:pPr>
            <w:r>
              <w:rPr>
                <w:b/>
                <w:sz w:val="22"/>
              </w:rPr>
              <w:t xml:space="preserve">FROM:  </w:t>
            </w:r>
            <w:r>
              <w:rPr>
                <w:sz w:val="22"/>
              </w:rPr>
              <w:t>Carlos A. Ryerson, Esq. — Ryerson &amp; Associates, P.C. — Independent Outside Legal Counsel</w:t>
            </w:r>
          </w:p>
          <w:p>
            <w:pPr>
              <w:spacing w:after="60"/>
            </w:pPr>
            <w:r>
              <w:rPr>
                <w:b/>
                <w:sz w:val="22"/>
              </w:rPr>
              <w:t xml:space="preserve">RE:  </w:t>
            </w:r>
            <w:r>
              <w:rPr>
                <w:sz w:val="22"/>
              </w:rPr>
              <w:t>Independent Outside Counsel Legal Opinion — Authority, Capacity, and Legal Basis for NVC Fund Holding Trust to Issue, Execute, and Deliver Capital Market Financial Instruments; and the Attribution of NVC Fund Bank's Chartered Banking Powers to the Trust as Parent Entity</w:t>
            </w:r>
          </w:p>
          <w:p>
            <w:pPr>
              <w:spacing w:before="120" w:after="80"/>
            </w:pPr>
            <w:r>
              <w:rPr>
                <w:sz w:val="22"/>
              </w:rPr>
              <w:t>This Opinion is rendered by Ryerson &amp; Associates, P.C., independent outside legal counsel engaged by NVC Fund Holding Trust (the "Trust"), based upon our independent examination of the Trust's governing documents, applicable federal and state law, and the governing frameworks applicable to each instrument type described herein. We have been engaged as outside counsel and render this Opinion independently of the Trust's internal legal staff.</w:t>
            </w:r>
          </w:p>
        </w:tc>
      </w:tr>
    </w:tbl>
    <w:p/>
    <w:p>
      <w:pPr>
        <w:spacing w:before="280" w:after="80"/>
        <w:jc w:val="left"/>
        <w:pBdr>
          <w:bottom w:val="single" w:sz="6" w:space="1" w:color="2a5298"/>
        </w:pBdr>
      </w:pPr>
      <w:r>
        <w:rPr>
          <w:b/>
          <w:color w:val="0A1628"/>
          <w:sz w:val="24"/>
        </w:rPr>
        <w:t>I. BACKGROUND AND TRUST ORGANIZATION</w:t>
      </w:r>
    </w:p>
    <w:p>
      <w:pPr>
        <w:spacing w:after="120"/>
      </w:pPr>
      <w:r>
        <w:rPr>
          <w:i w:val="0"/>
          <w:sz w:val="22"/>
        </w:rPr>
        <w:t>NVC Fund Holding Trust (the "Trust") is a sovereign trust entity constituted as an irrevocable express trust under the laws of the United States, governed by its Trust Indenture and Declaration (the "Trust Instrument"). The Trust was established to hold, manage, and deploy substantial financial and real property assets for designated beneficiaries and for the broader purposes of global financial settlement and liquidity provision.</w:t>
      </w:r>
    </w:p>
    <w:p>
      <w:pPr>
        <w:spacing w:after="120"/>
      </w:pPr>
      <w:r>
        <w:rPr>
          <w:i w:val="0"/>
          <w:sz w:val="22"/>
        </w:rPr>
        <w:t>The Trust's duly appointed Trustees are vested with full fiduciary authority to execute all transactions necessary to fulfill the Trust's purposes, including origination, issuance, endorsement, and delivery of capital market financial instruments on behalf of the Trust estate, subject to multi-signature governance and tiered internal approval controls.</w:t>
      </w:r>
    </w:p>
    <w:p>
      <w:pPr>
        <w:spacing w:after="120"/>
      </w:pPr>
      <w:r>
        <w:rPr>
          <w:b/>
          <w:sz w:val="22"/>
        </w:rPr>
        <w:t xml:space="preserve">NVC Fund Bank as Wholly Owned Subsidiary.  </w:t>
      </w:r>
      <w:r>
        <w:rPr>
          <w:sz w:val="22"/>
        </w:rPr>
        <w:t>NVC Fund Bank (the "Bank") is a wholly owned banking subsidiary of the Trust, organized and operating pursuant to a banking charter that confers full commercial banking powers upon the Bank, including but not limited to: deposit-taking, commercial lending, wire transfer origination and receipt, issuance of letters of credit and trade finance instruments, correspondent banking operations, and participation in domestic and international payment and settlement systems. As the sole parent and beneficial owner of the Bank, the Trust is entitled to the full economic benefit of the Bank's banking franchise and, through its ownership and control of the Bank, has access to the complete suite of chartered banking powers held by the Bank. The structural relationship between the Trust and the Bank is as follows: the Trust is the parent entity; the Bank is its chartered banking subsidiary; and banking powers conferred upon the Bank by its charter are therefore available to the consolidated enterprise for the purposes of the transactions described herein.</w:t>
      </w:r>
    </w:p>
    <w:p>
      <w:pPr>
        <w:spacing w:before="280" w:after="80"/>
        <w:jc w:val="left"/>
        <w:pBdr>
          <w:bottom w:val="single" w:sz="6" w:space="1" w:color="2a5298"/>
        </w:pBdr>
      </w:pPr>
      <w:r>
        <w:rPr>
          <w:b/>
          <w:color w:val="0A1628"/>
          <w:sz w:val="24"/>
        </w:rPr>
        <w:t>II. APPLICABLE LEGAL FRAMEWORK</w:t>
      </w:r>
    </w:p>
    <w:p>
      <w:pPr>
        <w:spacing w:after="100"/>
      </w:pPr>
      <w:r>
        <w:rPr>
          <w:b/>
          <w:sz w:val="22"/>
        </w:rPr>
        <w:t>A. Trust Law (Uniform Trust Code)</w:t>
      </w:r>
    </w:p>
    <w:p>
      <w:pPr>
        <w:spacing w:after="120"/>
      </w:pPr>
      <w:r>
        <w:rPr>
          <w:i w:val="0"/>
          <w:sz w:val="22"/>
        </w:rPr>
        <w:t>Under the Uniform Trust Code (UTC) and applicable common law of trusts, a trustee holds all powers over trust property that a competent individual has over individually owned property, plus any additional powers conferred by the trust instrument. These statutory powers expressly include: (i) investing and reinvesting trust assets in any form; (ii) borrowing money and executing negotiable instruments; (iii) entering into financial contracts and guaranteeing obligations; and (iv) exercising all discretions consistent with fiduciary duties. The Trust Instrument expressly authorizes the Trustees to engage in capital market transactions and instrument issuances.</w:t>
      </w:r>
    </w:p>
    <w:p>
      <w:pPr>
        <w:spacing w:after="100"/>
      </w:pPr>
      <w:r>
        <w:rPr>
          <w:b/>
          <w:sz w:val="22"/>
        </w:rPr>
        <w:t>B. Uniform Commercial Code (UCC) — Articles 3, 4 &amp; 9</w:t>
      </w:r>
    </w:p>
    <w:p>
      <w:pPr>
        <w:spacing w:after="120"/>
      </w:pPr>
      <w:r>
        <w:rPr>
          <w:i w:val="0"/>
          <w:sz w:val="22"/>
        </w:rPr>
        <w:t>The Trust has full capacity as a "person" under UCC Article 3 to execute, issue, endorse, and transfer negotiable instruments. UCC Article 9 authorizes the creation of security interests in Trust assets supporting instrument obligations. UCC Article 4 governs settlement through correspondent banking channels.</w:t>
      </w:r>
    </w:p>
    <w:p>
      <w:pPr>
        <w:spacing w:after="100"/>
      </w:pPr>
      <w:r>
        <w:rPr>
          <w:b/>
          <w:sz w:val="22"/>
        </w:rPr>
        <w:t>C. Federal Securities Law Exemptions</w:t>
      </w:r>
    </w:p>
    <w:p>
      <w:pPr>
        <w:spacing w:after="120"/>
      </w:pPr>
      <w:r>
        <w:rPr>
          <w:i w:val="0"/>
          <w:sz w:val="22"/>
        </w:rPr>
        <w:t>Where any instrument may constitute a "security" under the Securities Act of 1933 or the Securities Exchange Act of 1934, applicable exemptions are available: (i) Section 3(a)(3) — commercial paper with maturities not exceeding nine months; (ii) Section 4(a)(2) — transactions not involving a public offering; and (iii) Regulation D Rule 506 — private placements to qualified investors.</w:t>
      </w:r>
    </w:p>
    <w:p>
      <w:pPr>
        <w:spacing w:after="100"/>
      </w:pPr>
      <w:r>
        <w:rPr>
          <w:b/>
          <w:sz w:val="22"/>
        </w:rPr>
        <w:t>D. International Governing Frameworks</w:t>
      </w:r>
    </w:p>
    <w:p>
      <w:pPr>
        <w:pStyle w:val="ListBullet"/>
        <w:spacing w:after="60"/>
      </w:pPr>
      <w:r>
        <w:rPr>
          <w:sz w:val="22"/>
        </w:rPr>
        <w:t>ICC URDG 758 — Uniform Rules for Demand Guarantees (Bank Guarantees)</w:t>
      </w:r>
    </w:p>
    <w:p>
      <w:pPr>
        <w:pStyle w:val="ListBullet"/>
        <w:spacing w:after="60"/>
      </w:pPr>
      <w:r>
        <w:rPr>
          <w:sz w:val="22"/>
        </w:rPr>
        <w:t>ISP98 — International Standby Practices (Standby instruments)</w:t>
      </w:r>
    </w:p>
    <w:p>
      <w:pPr>
        <w:pStyle w:val="ListBullet"/>
        <w:spacing w:after="60"/>
      </w:pPr>
      <w:r>
        <w:rPr>
          <w:sz w:val="22"/>
        </w:rPr>
        <w:t>GMRA 2011 (SIFMA/ICMA) — Global Master Repurchase Agreement</w:t>
      </w:r>
    </w:p>
    <w:p>
      <w:pPr>
        <w:pStyle w:val="ListBullet"/>
        <w:spacing w:after="60"/>
      </w:pPr>
      <w:r>
        <w:rPr>
          <w:sz w:val="22"/>
        </w:rPr>
        <w:t>ISO 20022 — Electronic payment and settlement messaging standards</w:t>
      </w:r>
    </w:p>
    <w:p>
      <w:pPr>
        <w:pStyle w:val="ListBullet"/>
        <w:spacing w:after="60"/>
      </w:pPr>
      <w:r>
        <w:rPr>
          <w:sz w:val="22"/>
        </w:rPr>
        <w:t>UCP 600 (ICC) — Uniform Customs &amp; Practice for Documentary Credits</w:t>
      </w:r>
    </w:p>
    <w:p>
      <w:pPr>
        <w:pStyle w:val="ListBullet"/>
        <w:spacing w:after="60"/>
      </w:pPr>
      <w:r>
        <w:rPr>
          <w:sz w:val="22"/>
        </w:rPr>
        <w:t>UNCITRAL Model Law — Cross-border commercial arbitration and dispute resolution</w:t>
      </w:r>
    </w:p>
    <w:p>
      <w:pPr>
        <w:spacing w:after="100"/>
      </w:pPr>
      <w:r>
        <w:rPr>
          <w:b/>
          <w:sz w:val="22"/>
        </w:rPr>
        <w:t>E. NVC Fund Bank — Subsidiary Banking Charter and Attribution of Banking Powers</w:t>
      </w:r>
    </w:p>
    <w:p>
      <w:pPr>
        <w:spacing w:after="120"/>
      </w:pPr>
      <w:r>
        <w:rPr>
          <w:i w:val="0"/>
          <w:sz w:val="22"/>
        </w:rPr>
        <w:t>NVC Fund Bank holds a banking charter conferring full commercial banking authority, including powers to originate and receive domestic and international wire transfers, issue letters of credit, accept time drafts (Banker's Acceptances), issue negotiable instruments and certificates of deposit, engage in trade finance, maintain correspondent banking relationships, and participate in regulated payment and settlement systems including Fedwire, SWIFT, and ACH networks.</w:t>
      </w:r>
    </w:p>
    <w:p>
      <w:pPr>
        <w:spacing w:after="120"/>
      </w:pPr>
      <w:r>
        <w:rPr>
          <w:i w:val="0"/>
          <w:sz w:val="22"/>
        </w:rPr>
        <w:t>Under established principles of corporate law and trust law, the banking powers vested in a wholly owned banking subsidiary are attributable to the parent entity for purposes of determining the parent's capacity to engage in financial transactions through the subsidiary. Specifically: (i) a parent entity that wholly owns a chartered bank controls and benefits from all banking powers of that subsidiary; (ii) transactions structured through the banking subsidiary are transactions of the consolidated enterprise; and (iii) the trust, as parent and sole beneficial owner, may direct the Bank to exercise any banking power on behalf of the Trust estate. This attribution principle is recognized under the Bank Holding Company Act (12 U.S.C. § 1841 et seq.), applicable state banking law, and general principles of corporate consolidation.</w:t>
      </w:r>
    </w:p>
    <w:p>
      <w:pPr>
        <w:spacing w:after="120"/>
      </w:pPr>
      <w:r>
        <w:rPr>
          <w:i w:val="0"/>
          <w:sz w:val="22"/>
        </w:rPr>
        <w:t>The practical legal effect is that the Trust's authority to issue, execute, and settle the instruments described in Section III is reinforced and supplemented by NVC Fund Bank's chartered banking powers. Instruments issued by the Trust may be executed, delivered, accepted, or settled through NVC Fund Bank as the Trust's wholly owned banking arm, with full legal force and effect under applicable banking law, UCC Articles 3, 4, and 4A, and the international frameworks governing each instrument type.</w:t>
      </w:r>
    </w:p>
    <w:p>
      <w:pPr>
        <w:spacing w:before="280" w:after="80"/>
        <w:jc w:val="left"/>
        <w:pBdr>
          <w:bottom w:val="single" w:sz="6" w:space="1" w:color="2a5298"/>
        </w:pBdr>
      </w:pPr>
      <w:r>
        <w:rPr>
          <w:b/>
          <w:color w:val="0A1628"/>
          <w:sz w:val="24"/>
        </w:rPr>
        <w:t>III. INSTRUMENT-BY-INSTRUMENT AUTHORITY</w:t>
      </w:r>
    </w:p>
    <w:p>
      <w:pPr>
        <w:spacing w:after="120"/>
      </w:pPr>
      <w:r>
        <w:rPr>
          <w:i w:val="0"/>
          <w:sz w:val="22"/>
        </w:rPr>
        <w:t>Based upon our review of the Trust Instrument and the applicable legal frameworks, it is our opinion that the Trust has full legal authority to issue each of the following capital market financial instruments:</w:t>
      </w:r>
    </w:p>
    <w:tbl>
      <w:tblPr>
        <w:tblStyle w:val="TableGrid"/>
        <w:tblW w:type="auto" w:w="0"/>
        <w:tblLook w:firstColumn="1" w:firstRow="1" w:lastColumn="0" w:lastRow="0" w:noHBand="0" w:noVBand="1" w:val="04A0"/>
      </w:tblPr>
      <w:tblGrid>
        <w:gridCol w:w="2880"/>
        <w:gridCol w:w="6120"/>
      </w:tblGrid>
      <w:tr>
        <w:tc>
          <w:tcPr>
            <w:tcW w:type="dxa" w:w="4320"/>
            <w:shd w:val="clear" w:color="auto" w:fill="0A1628"/>
          </w:tcPr>
          <w:p>
            <w:r>
              <w:rPr>
                <w:b/>
                <w:color w:val="FFFFFF"/>
                <w:sz w:val="20"/>
              </w:rPr>
              <w:t>Instrument</w:t>
            </w:r>
          </w:p>
        </w:tc>
        <w:tc>
          <w:tcPr>
            <w:tcW w:type="dxa" w:w="4320"/>
            <w:shd w:val="clear" w:color="auto" w:fill="0A1628"/>
          </w:tcPr>
          <w:p>
            <w:r>
              <w:rPr>
                <w:b/>
                <w:color w:val="FFFFFF"/>
                <w:sz w:val="20"/>
              </w:rPr>
              <w:t>Legal Authority &amp; Governing Framework</w:t>
            </w:r>
          </w:p>
        </w:tc>
      </w:tr>
      <w:tr>
        <w:tc>
          <w:tcPr>
            <w:tcW w:type="dxa" w:w="2880"/>
          </w:tcPr>
          <w:p>
            <w:r>
              <w:rPr>
                <w:b/>
                <w:color w:val="1E3A6E"/>
                <w:sz w:val="20"/>
              </w:rPr>
              <w:t>Banker's Acceptance</w:t>
            </w:r>
          </w:p>
        </w:tc>
        <w:tc>
          <w:tcPr>
            <w:tcW w:type="dxa" w:w="6120"/>
          </w:tcPr>
          <w:p>
            <w:r>
              <w:rPr>
                <w:sz w:val="20"/>
              </w:rPr>
              <w:t>The Trust is authorized under UTC trust investment powers and UCC Article 3 to draw and accept time drafts payable at a future date. Eligible under Federal Reserve Regulation A criteria for discount window purposes.</w:t>
            </w:r>
          </w:p>
          <w:p>
            <w:r>
              <w:rPr>
                <w:i/>
                <w:color w:val="4B5563"/>
                <w:sz w:val="18"/>
              </w:rPr>
              <w:t>Governing: UCC § 3-104; Fed. Reserve Reg. A; SWIFT MT 750/752; ISO 20022 camt/pain</w:t>
            </w:r>
          </w:p>
        </w:tc>
      </w:tr>
      <w:tr>
        <w:tc>
          <w:tcPr>
            <w:tcW w:type="dxa" w:w="2880"/>
          </w:tcPr>
          <w:p>
            <w:r>
              <w:rPr>
                <w:b/>
                <w:color w:val="1E3A6E"/>
                <w:sz w:val="20"/>
              </w:rPr>
              <w:t>Commercial Paper</w:t>
            </w:r>
          </w:p>
        </w:tc>
        <w:tc>
          <w:tcPr>
            <w:tcW w:type="dxa" w:w="6120"/>
          </w:tcPr>
          <w:p>
            <w:r>
              <w:rPr>
                <w:sz w:val="20"/>
              </w:rPr>
              <w:t>The Trust is authorized to issue short-term unsecured promissory notes under UTC borrowing powers and UCC Article 3. Exempt from Securities Act registration under Section 3(a)(3) for maturities not exceeding nine months.</w:t>
            </w:r>
          </w:p>
          <w:p>
            <w:r>
              <w:rPr>
                <w:i/>
                <w:color w:val="4B5563"/>
                <w:sz w:val="18"/>
              </w:rPr>
              <w:t>Governing: Securities Act § 3(a)(3); UCC § 3-104; SEC Rule 2a-7; DTCC/DTC settlement</w:t>
            </w:r>
          </w:p>
        </w:tc>
      </w:tr>
      <w:tr>
        <w:tc>
          <w:tcPr>
            <w:tcW w:type="dxa" w:w="2880"/>
          </w:tcPr>
          <w:p>
            <w:r>
              <w:rPr>
                <w:b/>
                <w:color w:val="1E3A6E"/>
                <w:sz w:val="20"/>
              </w:rPr>
              <w:t>Demand Guarantee / Bank Guarantee</w:t>
            </w:r>
          </w:p>
        </w:tc>
        <w:tc>
          <w:tcPr>
            <w:tcW w:type="dxa" w:w="6120"/>
          </w:tcPr>
          <w:p>
            <w:r>
              <w:rPr>
                <w:sz w:val="20"/>
              </w:rPr>
              <w:t>The Trust holds authority under UTC guarantee powers and general contract law to issue independent first-demand guarantee undertakings, autonomous from the underlying transaction.</w:t>
            </w:r>
          </w:p>
          <w:p>
            <w:r>
              <w:rPr>
                <w:i/>
                <w:color w:val="4B5563"/>
                <w:sz w:val="18"/>
              </w:rPr>
              <w:t>Governing: ICC URDG 758; ISP98; UCP 600 (ancillary); SWIFT MT 760; common law of guaranty</w:t>
            </w:r>
          </w:p>
        </w:tc>
      </w:tr>
      <w:tr>
        <w:tc>
          <w:tcPr>
            <w:tcW w:type="dxa" w:w="2880"/>
          </w:tcPr>
          <w:p>
            <w:r>
              <w:rPr>
                <w:b/>
                <w:color w:val="1E3A6E"/>
                <w:sz w:val="20"/>
              </w:rPr>
              <w:t>Repurchase Agreement</w:t>
            </w:r>
          </w:p>
        </w:tc>
        <w:tc>
          <w:tcPr>
            <w:tcW w:type="dxa" w:w="6120"/>
          </w:tcPr>
          <w:p>
            <w:r>
              <w:rPr>
                <w:sz w:val="20"/>
              </w:rPr>
              <w:t>The Trust may enter into repurchase agreements under UTC investment and collateralized borrowing powers, structured and documented under GMRA 2011 standard terms.</w:t>
            </w:r>
          </w:p>
          <w:p>
            <w:r>
              <w:rPr>
                <w:i/>
                <w:color w:val="4B5563"/>
                <w:sz w:val="18"/>
              </w:rPr>
              <w:t>Governing: GMRA 2011 (SIFMA/ICMA); UCC Art. 9; Fedwire DvP settlement; SEC Rule 15c3-3</w:t>
            </w:r>
          </w:p>
        </w:tc>
      </w:tr>
      <w:tr>
        <w:tc>
          <w:tcPr>
            <w:tcW w:type="dxa" w:w="2880"/>
          </w:tcPr>
          <w:p>
            <w:r>
              <w:rPr>
                <w:b/>
                <w:color w:val="1E3A6E"/>
                <w:sz w:val="20"/>
              </w:rPr>
              <w:t>Certificate of Deposit</w:t>
            </w:r>
          </w:p>
        </w:tc>
        <w:tc>
          <w:tcPr>
            <w:tcW w:type="dxa" w:w="6120"/>
          </w:tcPr>
          <w:p>
            <w:r>
              <w:rPr>
                <w:sz w:val="20"/>
              </w:rPr>
              <w:t>The Trust is authorized under UTC deposit-taking and investment powers and UCC § 3-104(j) to issue negotiable certificates of deposit. Negotiable CDs may be endorsed and transferred in secondary markets.</w:t>
            </w:r>
          </w:p>
          <w:p>
            <w:r>
              <w:rPr>
                <w:i/>
                <w:color w:val="4B5563"/>
                <w:sz w:val="18"/>
              </w:rPr>
              <w:t>Governing: UCC § 3-104(j); Fed. Reserve Reg. D; Trust Instrument investment powers; CUSIP/ISIN assignable</w:t>
            </w:r>
          </w:p>
        </w:tc>
      </w:tr>
      <w:tr>
        <w:tc>
          <w:tcPr>
            <w:tcW w:type="dxa" w:w="2880"/>
          </w:tcPr>
          <w:p>
            <w:r>
              <w:rPr>
                <w:b/>
                <w:color w:val="1E3A6E"/>
                <w:sz w:val="20"/>
              </w:rPr>
              <w:t>Treasury Note</w:t>
            </w:r>
          </w:p>
        </w:tc>
        <w:tc>
          <w:tcPr>
            <w:tcW w:type="dxa" w:w="6120"/>
          </w:tcPr>
          <w:p>
            <w:r>
              <w:rPr>
                <w:sz w:val="20"/>
              </w:rPr>
              <w:t>The Trust has authority under UTC borrowing and debt issuance powers to issue fixed-rate, fixed-term interest-bearing promissory notes, carrying the full faith and backing of the Trust estate assets.</w:t>
            </w:r>
          </w:p>
          <w:p>
            <w:r>
              <w:rPr>
                <w:i/>
                <w:color w:val="4B5563"/>
                <w:sz w:val="18"/>
              </w:rPr>
              <w:t>Governing: UCC § 3-104; Securities Act Reg. D / § 4(a)(2); Trust Instrument borrowing powers; CUSIP assignable</w:t>
            </w:r>
          </w:p>
        </w:tc>
      </w:tr>
      <w:tr>
        <w:tc>
          <w:tcPr>
            <w:tcW w:type="dxa" w:w="2880"/>
          </w:tcPr>
          <w:p>
            <w:r>
              <w:rPr>
                <w:b/>
                <w:color w:val="1E3A6E"/>
                <w:sz w:val="20"/>
              </w:rPr>
              <w:t>Block Fund Instrument</w:t>
            </w:r>
          </w:p>
        </w:tc>
        <w:tc>
          <w:tcPr>
            <w:tcW w:type="dxa" w:w="6120"/>
          </w:tcPr>
          <w:p>
            <w:r>
              <w:rPr>
                <w:sz w:val="20"/>
              </w:rPr>
              <w:t>The Trust may issue Block Fund Instruments representing the reservation and earmarking of a specified amount of Trust assets in favor of a named beneficiary for a defined period.</w:t>
            </w:r>
          </w:p>
          <w:p>
            <w:r>
              <w:rPr>
                <w:i/>
                <w:color w:val="4B5563"/>
                <w:sz w:val="18"/>
              </w:rPr>
              <w:t>Governing: Trust Instrument asset management powers; UCC Art. 9 (pledge/assignment); SWIFT MT 760/799 protocols</w:t>
            </w:r>
          </w:p>
        </w:tc>
      </w:tr>
      <w:tr>
        <w:tc>
          <w:tcPr>
            <w:tcW w:type="dxa" w:w="2880"/>
          </w:tcPr>
          <w:p>
            <w:r>
              <w:rPr>
                <w:b/>
                <w:color w:val="1E3A6E"/>
                <w:sz w:val="20"/>
              </w:rPr>
              <w:t>Global Depository Receipt</w:t>
            </w:r>
          </w:p>
        </w:tc>
        <w:tc>
          <w:tcPr>
            <w:tcW w:type="dxa" w:w="6120"/>
          </w:tcPr>
          <w:p>
            <w:r>
              <w:rPr>
                <w:sz w:val="20"/>
              </w:rPr>
              <w:t>The Trust is authorized to issue GDRs representing an ownership interest in underlying financial assets held by the Trust estate. Offshore under Regulation S; U.S. domestic QIB placements under Rule 144A.</w:t>
            </w:r>
          </w:p>
          <w:p>
            <w:r>
              <w:rPr>
                <w:i/>
                <w:color w:val="4B5563"/>
                <w:sz w:val="18"/>
              </w:rPr>
              <w:t>Governing: Securities Act Reg. S / Rule 144A; depositary agreements; applicable exchange listing rules</w:t>
            </w:r>
          </w:p>
        </w:tc>
      </w:tr>
      <w:tr>
        <w:tc>
          <w:tcPr>
            <w:tcW w:type="dxa" w:w="2880"/>
          </w:tcPr>
          <w:p>
            <w:r>
              <w:rPr>
                <w:b/>
                <w:color w:val="1E3A6E"/>
                <w:sz w:val="20"/>
              </w:rPr>
              <w:t>Sovereign Funding &amp; Repatriation Credit Instrument</w:t>
            </w:r>
          </w:p>
        </w:tc>
        <w:tc>
          <w:tcPr>
            <w:tcW w:type="dxa" w:w="6120"/>
          </w:tcPr>
          <w:p>
            <w:r>
              <w:rPr>
                <w:sz w:val="20"/>
              </w:rPr>
              <w:t>The Trust may issue sovereign-grade credit instruments for infrastructure, development, and repatriation programs, backed by documented asset reserves.</w:t>
            </w:r>
          </w:p>
          <w:p>
            <w:r>
              <w:rPr>
                <w:i/>
                <w:color w:val="4B5563"/>
                <w:sz w:val="18"/>
              </w:rPr>
              <w:t>Governing: Trust Instrument sovereign powers; bilateral investment frameworks; ICC rules; public international law principles</w:t>
            </w:r>
          </w:p>
        </w:tc>
      </w:tr>
      <w:tr>
        <w:tc>
          <w:tcPr>
            <w:tcW w:type="dxa" w:w="2880"/>
          </w:tcPr>
          <w:p>
            <w:r>
              <w:rPr>
                <w:b/>
                <w:color w:val="1E3A6E"/>
                <w:sz w:val="20"/>
              </w:rPr>
              <w:t>NVCT Stablecoin</w:t>
            </w:r>
          </w:p>
        </w:tc>
        <w:tc>
          <w:tcPr>
            <w:tcW w:type="dxa" w:w="6120"/>
          </w:tcPr>
          <w:p>
            <w:r>
              <w:rPr>
                <w:sz w:val="20"/>
              </w:rPr>
              <w:t>The Trust is authorized to issue the NVCT Stablecoin — a USD-pegged (1:1) digital asset on Base Mainnet (Ethereum L2). AML/KYC maintained under the Bank Secrecy Act (31 U.S.C. § 5311 et seq.).</w:t>
            </w:r>
          </w:p>
          <w:p>
            <w:r>
              <w:rPr>
                <w:i/>
                <w:color w:val="4B5563"/>
                <w:sz w:val="18"/>
              </w:rPr>
              <w:t>Governing: Trust Instrument; BSA/FinCEN AML requirements; Base Mainnet ERC-20 standard; ongoing regulatory monitoring</w:t>
            </w:r>
          </w:p>
        </w:tc>
      </w:tr>
    </w:tbl>
    <w:p/>
    <w:p>
      <w:pPr>
        <w:spacing w:before="280" w:after="80"/>
        <w:jc w:val="left"/>
        <w:pBdr>
          <w:bottom w:val="single" w:sz="6" w:space="1" w:color="2a5298"/>
        </w:pBdr>
      </w:pPr>
      <w:r>
        <w:rPr>
          <w:b/>
          <w:color w:val="0A1628"/>
          <w:sz w:val="24"/>
        </w:rPr>
        <w:t>IV. QUALIFICATIONS AND LIMITATIONS</w:t>
      </w:r>
    </w:p>
    <w:p>
      <w:pPr>
        <w:pStyle w:val="ListBullet"/>
        <w:spacing w:after="80"/>
      </w:pPr>
      <w:r>
        <w:rPr>
          <w:sz w:val="22"/>
        </w:rPr>
        <w:t>This Opinion speaks only as of the date set forth above and is not updated for subsequent changes in law or the Trust's circumstances.</w:t>
      </w:r>
    </w:p>
    <w:p>
      <w:pPr>
        <w:pStyle w:val="ListBullet"/>
        <w:spacing w:after="80"/>
      </w:pPr>
      <w:r>
        <w:rPr>
          <w:sz w:val="22"/>
        </w:rPr>
        <w:t>This Opinion addresses U.S. law only. Counterparties in foreign jurisdictions should obtain local legal advice on enforceability of Trust-issued instruments in their jurisdiction.</w:t>
      </w:r>
    </w:p>
    <w:p>
      <w:pPr>
        <w:pStyle w:val="ListBullet"/>
        <w:spacing w:after="80"/>
      </w:pPr>
      <w:r>
        <w:rPr>
          <w:sz w:val="22"/>
        </w:rPr>
        <w:t>This Opinion addresses legal capacity and authority only; it does not constitute investment advice, a credit rating, or a representation as to the commercial suitability of any instrument.</w:t>
      </w:r>
    </w:p>
    <w:p>
      <w:pPr>
        <w:pStyle w:val="ListBullet"/>
        <w:spacing w:after="80"/>
      </w:pPr>
      <w:r>
        <w:rPr>
          <w:sz w:val="22"/>
        </w:rPr>
        <w:t>Each issuance remains subject to completion of counterparty due diligence, internal approval procedures, and execution of applicable transaction documentation.</w:t>
      </w:r>
    </w:p>
    <w:p>
      <w:pPr>
        <w:pStyle w:val="ListBullet"/>
        <w:spacing w:after="80"/>
      </w:pPr>
      <w:r>
        <w:rPr>
          <w:sz w:val="22"/>
        </w:rPr>
        <w:t>This Opinion may not be relied upon by third parties without the prior written consent of Ryerson &amp; Associates, P.C.</w:t>
      </w:r>
    </w:p>
    <w:p/>
    <w:tbl>
      <w:tblPr>
        <w:tblStyle w:val="TableGrid"/>
        <w:tblW w:type="auto" w:w="0"/>
        <w:tblLook w:firstColumn="1" w:firstRow="1" w:lastColumn="0" w:lastRow="0" w:noHBand="0" w:noVBand="1" w:val="04A0"/>
      </w:tblPr>
      <w:tblGrid>
        <w:gridCol w:w="8640"/>
      </w:tblGrid>
      <w:tr>
        <w:tc>
          <w:tcPr>
            <w:tcW w:type="dxa" w:w="8640"/>
          </w:tcPr>
          <w:p/>
          <w:p>
            <w:pPr>
              <w:spacing w:after="80"/>
            </w:pPr>
            <w:r>
              <w:rPr>
                <w:b/>
                <w:color w:val="0A1628"/>
                <w:sz w:val="22"/>
              </w:rPr>
              <w:t>FORMAL LEGAL OPINION</w:t>
            </w:r>
          </w:p>
          <w:p>
            <w:pPr>
              <w:spacing w:after="100"/>
            </w:pPr>
            <w:r>
              <w:rPr>
                <w:sz w:val="22"/>
              </w:rPr>
              <w:t>Based upon the foregoing independent analysis, and subject to the qualifications stated herein, it is the opinion of Ryerson &amp; Associates, P.C. that:</w:t>
            </w:r>
          </w:p>
          <w:p>
            <w:pPr>
              <w:spacing w:after="100"/>
            </w:pPr>
            <w:r>
              <w:rPr>
                <w:sz w:val="22"/>
              </w:rPr>
              <w:t>1. NVC Fund Holding Trust is a duly constituted trust entity with full legal capacity and authority to originate, issue, execute, deliver, endorse, and settle all of the capital market financial instruments described in Section III, including Banker's Acceptances, Commercial Paper, Demand Guarantees / Bank Guarantees, Repurchase Agreements, Certificates of Deposit, Treasury Notes, Block Fund Instruments, Global Depository Receipts, Sovereign Funding &amp; Repatriation Credit instruments, and the NVCT Stablecoin.</w:t>
            </w:r>
          </w:p>
          <w:p>
            <w:pPr>
              <w:spacing w:after="100"/>
            </w:pPr>
            <w:r>
              <w:rPr>
                <w:sz w:val="22"/>
              </w:rPr>
              <w:t>2. The Trust Instrument vests in the Trustees sufficient authority to execute such transactions under trust law, and no legal impediment exists under applicable United States federal or state law to the Trust's exercise of such authority.</w:t>
            </w:r>
          </w:p>
          <w:p>
            <w:pPr>
              <w:spacing w:after="100"/>
            </w:pPr>
            <w:r>
              <w:rPr>
                <w:sz w:val="22"/>
              </w:rPr>
              <w:t>3. The governing frameworks applicable to each instrument — UCC Articles 3, 4, and 9; ICC URDG 758; GMRA 2011; ISO 20022; and applicable federal securities law exemptions — are consistent with and supportive of the Trust's authority to issue each such instrument.</w:t>
            </w:r>
          </w:p>
          <w:p>
            <w:pPr>
              <w:spacing w:after="100"/>
            </w:pPr>
            <w:r>
              <w:rPr>
                <w:sz w:val="22"/>
              </w:rPr>
              <w:t>4. NVC Fund Bank is a wholly owned banking subsidiary of the Trust. The full suite of chartered banking powers held by NVC Fund Bank — including wire transfer origination, Banker's Acceptance execution, letter of credit issuance, correspondent banking operations, trade finance, and access to regulated domestic and international payment systems — is legally attributable to and available to the Trust as parent entity under applicable corporate law, the Bank Holding Company Act (12 U.S.C. § 1841 et seq.), and general principles of parent-subsidiary power attribution. The Trust and the Bank together constitute an integrated financial enterprise, and instruments originated or executed by either entity on behalf of that enterprise carry the full legal authority of the consolidated organization.</w:t>
            </w:r>
          </w:p>
        </w:tc>
      </w:tr>
    </w:tbl>
    <w:p/>
    <w:tbl>
      <w:tblPr>
        <w:tblStyle w:val="TableGrid"/>
        <w:tblW w:type="auto" w:w="0"/>
        <w:tblLook w:firstColumn="1" w:firstRow="1" w:lastColumn="0" w:lastRow="0" w:noHBand="0" w:noVBand="1" w:val="04A0"/>
      </w:tblPr>
      <w:tblGrid>
        <w:gridCol w:w="8640"/>
      </w:tblGrid>
      <w:tr>
        <w:tc>
          <w:tcPr>
            <w:tcW w:type="dxa" w:w="8640"/>
            <w:shd w:val="clear" w:color="auto" w:fill="FFF9EC"/>
          </w:tcPr>
          <w:p/>
          <w:p>
            <w:pPr>
              <w:spacing w:after="80"/>
            </w:pPr>
            <w:r>
              <w:rPr>
                <w:b/>
                <w:color w:val="7A5C00"/>
                <w:sz w:val="22"/>
              </w:rPr>
              <w:t>CONCLUSION</w:t>
            </w:r>
          </w:p>
          <w:p>
            <w:r>
              <w:rPr>
                <w:sz w:val="22"/>
              </w:rPr>
              <w:t>Ryerson &amp; Associates, P.C. confirms, as independent outside counsel, without reservation, that NVC Fund Holding Trust possesses the requisite legal authority, organizational capacity, and documented asset backing to engage in the full spectrum of capital market financial instrument issuances described herein. Furthermore, as the sole parent and beneficial owner of NVC Fund Bank, a chartered banking institution, the Trust's authority is reinforced by the full suite of banking powers conferred upon NVC Fund Bank by its charter — powers which are legally attributable to the Trust as the controlling parent entity. Counterparties may rely upon this Opinion as confirmation of both the Trust's inherent legal capacity and its banking authority flowing through NVC Fund Bank, for the purposes of their own due diligence and transaction documentation.</w:t>
            </w:r>
          </w:p>
        </w:tc>
      </w:tr>
    </w:tbl>
    <w:p/>
    <w:p>
      <w:pPr>
        <w:spacing w:before="400"/>
      </w:pPr>
      <w:r>
        <w:rPr>
          <w:b/>
        </w:rPr>
        <w:t>Independent Outside Counsel</w:t>
      </w:r>
    </w:p>
    <w:p/>
    <w:p>
      <w:pPr>
        <w:spacing w:after="40"/>
      </w:pPr>
      <w:r>
        <w:t>____________________________________________________</w:t>
      </w:r>
    </w:p>
    <w:p>
      <w:pPr>
        <w:spacing w:after="40"/>
      </w:pPr>
      <w:r>
        <w:rPr>
          <w:b/>
          <w:sz w:val="22"/>
        </w:rPr>
        <w:t>Carlos A. Ryerson, Esq.</w:t>
      </w:r>
    </w:p>
    <w:p>
      <w:pPr>
        <w:spacing w:after="40"/>
      </w:pPr>
      <w:r>
        <w:rPr>
          <w:sz w:val="22"/>
        </w:rPr>
        <w:t>State Bar of Texas — Ryerson &amp; Associates, P.C.</w:t>
      </w:r>
    </w:p>
    <w:p>
      <w:pPr>
        <w:spacing w:after="40"/>
      </w:pPr>
      <w:r>
        <w:rPr>
          <w:sz w:val="22"/>
        </w:rPr>
        <w:t>Independent Outside Legal Counsel</w:t>
      </w:r>
    </w:p>
    <w:p>
      <w:pPr>
        <w:spacing w:after="40"/>
      </w:pPr>
      <w:r>
        <w:rPr>
          <w:sz w:val="22"/>
        </w:rPr>
        <w:t>Ryerson &amp; Associates, P.C.</w:t>
      </w:r>
    </w:p>
    <w:p>
      <w:pPr>
        <w:spacing w:after="40"/>
      </w:pPr>
      <w:r>
        <w:rPr>
          <w:sz w:val="22"/>
        </w:rPr>
        <w:t>Marathon Oil Tower · Houston, Texas</w:t>
      </w:r>
    </w:p>
    <w:p>
      <w:pPr>
        <w:spacing w:after="40"/>
      </w:pPr>
      <w:r>
        <w:rPr>
          <w:sz w:val="22"/>
        </w:rPr>
        <w:t>(713) 291-9122 · carlos.ryerson@ryersonlaw.com</w:t>
      </w:r>
    </w:p>
    <w:p>
      <w:pPr>
        <w:spacing w:after="40"/>
      </w:pPr>
      <w:r>
        <w:rPr>
          <w:sz w:val="22"/>
        </w:rPr>
        <w:t>Date: July 23, 2026</w:t>
      </w:r>
    </w:p>
    <w:p>
      <w:pPr>
        <w:spacing w:after="40"/>
      </w:pPr>
      <w:r>
        <w:rPr>
          <w:sz w:val="22"/>
        </w:rPr>
        <w:t>Opinion Ref: RA-NVC-LO-20260723-001</w:t>
      </w:r>
    </w:p>
    <w:p/>
    <w:p>
      <w:pPr>
        <w:spacing w:before="240"/>
      </w:pPr>
      <w:r>
        <w:rPr>
          <w:b/>
          <w:sz w:val="18"/>
        </w:rPr>
        <w:t xml:space="preserve">ATTORNEY-CLIENT PRIVILEGED / ATTORNEY WORK PRODUCT:  </w:t>
      </w:r>
      <w:r>
        <w:rPr>
          <w:color w:val="6B7280"/>
          <w:sz w:val="18"/>
        </w:rPr>
        <w:t>This Legal Opinion Letter is rendered by Ryerson &amp; Associates, P.C. as independent outside counsel and is privileged and confidential, intended solely for named recipients. It may not be relied upon by third parties without the express written consent of Ryerson &amp; Associates, P.C. — Carlos A. Ryerson, Esq., State Bar of Texas — Marathon Oil Tower, Houston, Texas — (713) 291-9122.  Opinion Ref: RA-NVC-LO-20260723-001  ·  July 23, 2026  ·  www.nvcfund.com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